
<file path=[Content_Types].xml><?xml version="1.0" encoding="utf-8"?>
<Types xmlns="http://schemas.openxmlformats.org/package/2006/content-types">
  <Override PartName="/_rels/.rels" ContentType="application/vnd.openxmlformats-package.relationships+xml"/>
  <Override PartName="/word/_rels/document.xml.rels" ContentType="application/vnd.openxmlformats-package.relationships+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document.xml" ContentType="application/vnd.openxmlformats-officedocument.wordprocessingml.document.main+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officedocument/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jc w:val="center"/>
        <w:rPr>
          <w:b/>
          <w:b/>
          <w:sz w:val="40"/>
          <w:szCs w:val="40"/>
        </w:rPr>
      </w:pPr>
      <w:r>
        <w:rPr>
          <w:b/>
          <w:sz w:val="40"/>
          <w:szCs w:val="40"/>
        </w:rPr>
        <w:t>Сравнение между общи и професионални социално осигурени рискове</w:t>
      </w:r>
    </w:p>
    <w:p>
      <w:pPr>
        <w:pStyle w:val="Normal"/>
        <w:jc w:val="center"/>
        <w:rPr>
          <w:b/>
          <w:b/>
          <w:sz w:val="32"/>
          <w:szCs w:val="32"/>
        </w:rPr>
      </w:pPr>
      <w:r>
        <w:rPr>
          <w:b/>
          <w:sz w:val="32"/>
          <w:szCs w:val="32"/>
        </w:rPr>
        <w:t xml:space="preserve">Коментар </w:t>
      </w:r>
    </w:p>
    <w:p>
      <w:pPr>
        <w:pStyle w:val="Normal"/>
        <w:jc w:val="center"/>
        <w:rPr>
          <w:b/>
          <w:b/>
          <w:sz w:val="32"/>
          <w:szCs w:val="32"/>
        </w:rPr>
      </w:pPr>
      <w:r>
        <w:rPr>
          <w:b/>
          <w:sz w:val="32"/>
          <w:szCs w:val="32"/>
        </w:rPr>
        <w:t>Мира Руменова Карадилова, Ф.н. 49892</w:t>
      </w:r>
    </w:p>
    <w:p>
      <w:pPr>
        <w:pStyle w:val="Normal"/>
        <w:jc w:val="center"/>
        <w:rPr>
          <w:b/>
          <w:b/>
          <w:sz w:val="32"/>
          <w:szCs w:val="32"/>
        </w:rPr>
      </w:pPr>
      <w:r>
        <w:rPr>
          <w:b/>
          <w:sz w:val="32"/>
          <w:szCs w:val="32"/>
        </w:rPr>
      </w:r>
    </w:p>
    <w:p>
      <w:pPr>
        <w:pStyle w:val="Normal"/>
        <w:rPr>
          <w:sz w:val="24"/>
          <w:szCs w:val="24"/>
        </w:rPr>
      </w:pPr>
      <w:r>
        <w:rPr>
          <w:sz w:val="24"/>
          <w:szCs w:val="24"/>
        </w:rPr>
        <w:t xml:space="preserve">Осигуреният социален риск е </w:t>
      </w:r>
      <w:r>
        <w:rPr>
          <w:sz w:val="24"/>
          <w:szCs w:val="24"/>
          <w:u w:val="single"/>
        </w:rPr>
        <w:t>факт от обективната действителност, свързан с неблагоприятни в материално отношение последици за осигуреното лице.</w:t>
      </w:r>
      <w:r>
        <w:rPr>
          <w:sz w:val="24"/>
          <w:szCs w:val="24"/>
        </w:rPr>
        <w:t xml:space="preserve"> Той е предвидимо, вероятно явление със случаен характер, което настъпва независимо от човешката воля. Поради това следва да бъде характеризирано </w:t>
      </w:r>
      <w:r>
        <w:rPr>
          <w:sz w:val="24"/>
          <w:szCs w:val="24"/>
          <w:u w:val="single"/>
        </w:rPr>
        <w:t>като юридическо събитие.</w:t>
      </w:r>
      <w:r>
        <w:rPr>
          <w:sz w:val="24"/>
          <w:szCs w:val="24"/>
        </w:rPr>
        <w:t xml:space="preserve"> Неблагоприятните последици при настъпване на осигурителния случай настъпват за индивида като член от обществото, като </w:t>
      </w:r>
      <w:r>
        <w:rPr>
          <w:sz w:val="24"/>
          <w:szCs w:val="24"/>
          <w:u w:val="single"/>
        </w:rPr>
        <w:t>част от тези неблагоприятни последици се поемат именно от това общество.</w:t>
      </w:r>
      <w:r>
        <w:rPr>
          <w:sz w:val="24"/>
          <w:szCs w:val="24"/>
        </w:rPr>
        <w:t xml:space="preserve"> </w:t>
      </w:r>
      <w:r>
        <w:rPr>
          <w:sz w:val="24"/>
          <w:szCs w:val="24"/>
          <w:u w:val="single"/>
        </w:rPr>
        <w:t>Поемането на част от неблагоприятните материални последици характеризира риска като осигурен</w:t>
      </w:r>
      <w:r>
        <w:rPr>
          <w:sz w:val="24"/>
          <w:szCs w:val="24"/>
        </w:rPr>
        <w:t xml:space="preserve">. Това негово качество означава, че той е един </w:t>
      </w:r>
      <w:r>
        <w:rPr>
          <w:sz w:val="24"/>
          <w:szCs w:val="24"/>
          <w:u w:val="single"/>
        </w:rPr>
        <w:t>признат от правото</w:t>
      </w:r>
      <w:r>
        <w:rPr>
          <w:sz w:val="24"/>
          <w:szCs w:val="24"/>
        </w:rPr>
        <w:t xml:space="preserve"> юридически факт, който води до определени осигурителноправни последици. Социалната помощ е израз на един от принципите в осигурителното право – солидарност на осигурените лица (чл.3, т.3 КСО) и на целта на общественото осигуряване – компенсиране на загубения доход на лицето по социално-икономически причини. </w:t>
      </w:r>
    </w:p>
    <w:p>
      <w:pPr>
        <w:pStyle w:val="Normal"/>
        <w:rPr>
          <w:sz w:val="24"/>
          <w:szCs w:val="24"/>
        </w:rPr>
      </w:pPr>
      <w:r>
        <w:rPr>
          <w:sz w:val="24"/>
          <w:szCs w:val="24"/>
        </w:rPr>
        <w:t xml:space="preserve">В зависимост от връзката им с полагането на труд по трудово правоотношение, осигурените социални рискове се делят на общи и професионални. </w:t>
      </w:r>
      <w:r>
        <w:rPr>
          <w:sz w:val="24"/>
          <w:szCs w:val="24"/>
          <w:u w:val="single"/>
        </w:rPr>
        <w:t>Общите осигурени социални рискове могат да се проявят по отношение на всяко осигурено физическо лице. Това са рисковете общо заболяване и приравнените на него случаи, майчинство, инвалидност поради общо заболяване, старост и смърт. Професионалните осигурени социални рискове са свързани с полагането на труд по трудово правоотношение. Това са трудовата злополука, приравнените на трудова злополука случаи и професионалната болест.</w:t>
      </w:r>
      <w:r>
        <w:rPr>
          <w:sz w:val="24"/>
          <w:szCs w:val="24"/>
        </w:rPr>
        <w:t xml:space="preserve"> Тук е интересно да се спомене, че в миналото е имало група случаи, приравнени на трудова злополука, които нямат никаква връзка с работата по трудовото правоотношение, но законодателят ги е признал за такива поради по-висшия обществен интерес, в името на който са пострадали осигурените лица. Това са случаите на спасяване на човешки живот, обществено имущество и при оказване на доброволно съдействие на органите на МВР. Това законодателно решение е израз на засилена обществена солидарност и насърчаване на доблестното поведение на гражданите.</w:t>
      </w:r>
    </w:p>
    <w:p>
      <w:pPr>
        <w:pStyle w:val="Normal"/>
        <w:rPr>
          <w:sz w:val="24"/>
          <w:szCs w:val="24"/>
        </w:rPr>
      </w:pPr>
      <w:r>
        <w:rPr>
          <w:sz w:val="24"/>
          <w:szCs w:val="24"/>
        </w:rPr>
        <w:t xml:space="preserve">Противоречиви са тезите на авторите относно класификацията </w:t>
      </w:r>
      <w:r>
        <w:rPr>
          <w:sz w:val="24"/>
          <w:szCs w:val="24"/>
          <w:u w:val="single"/>
        </w:rPr>
        <w:t>на риска безработица</w:t>
      </w:r>
      <w:r>
        <w:rPr>
          <w:sz w:val="24"/>
          <w:szCs w:val="24"/>
        </w:rPr>
        <w:t>. Тя се изразява в отсъствие на постоянна и редовна работа на физическото лице. Според проф</w:t>
      </w:r>
      <w:r>
        <w:rPr>
          <w:sz w:val="24"/>
          <w:szCs w:val="24"/>
          <w:u w:val="single"/>
        </w:rPr>
        <w:t>. Мръчков безработицата е общ осигурен социален риск</w:t>
      </w:r>
      <w:r>
        <w:rPr>
          <w:sz w:val="24"/>
          <w:szCs w:val="24"/>
        </w:rPr>
        <w:t xml:space="preserve">, защото докато за професионалните социални рискове е характерно вредното влияние на работата по трудово правоотношение, то за риска безработица е характерна изобщо липсата на трудово правоотношение. Проф. </w:t>
      </w:r>
      <w:r>
        <w:rPr>
          <w:sz w:val="24"/>
          <w:szCs w:val="24"/>
          <w:u w:val="single"/>
        </w:rPr>
        <w:t>Средкова от друга страна  класифицира този риск като един от професионалните</w:t>
      </w:r>
      <w:r>
        <w:rPr>
          <w:sz w:val="24"/>
          <w:szCs w:val="24"/>
        </w:rPr>
        <w:t xml:space="preserve"> осигурени социални рискове, тъй като за тях е присъщо съществуването, респективно липсата на трудово правоотношение. Доц. </w:t>
      </w:r>
      <w:r>
        <w:rPr>
          <w:sz w:val="24"/>
          <w:szCs w:val="24"/>
          <w:u w:val="single"/>
        </w:rPr>
        <w:t xml:space="preserve">Стайков е на мнение, че безработицата е риск </w:t>
      </w:r>
      <w:r>
        <w:rPr>
          <w:sz w:val="24"/>
          <w:szCs w:val="24"/>
          <w:u w:val="single"/>
          <w:lang w:val="en-US"/>
        </w:rPr>
        <w:t>sui generis.</w:t>
      </w:r>
      <w:r>
        <w:rPr>
          <w:sz w:val="24"/>
          <w:szCs w:val="24"/>
          <w:lang w:val="en-US"/>
        </w:rPr>
        <w:t xml:space="preserve"> </w:t>
      </w:r>
      <w:r>
        <w:rPr>
          <w:sz w:val="24"/>
          <w:szCs w:val="24"/>
        </w:rPr>
        <w:t>Това е мнението, което бих подкрепила и аз, с оглед на това че този риск е твърде специфичен и достатъчно различен от иманентните за двете групи социални рискове характеристики.</w:t>
      </w:r>
    </w:p>
    <w:p>
      <w:pPr>
        <w:pStyle w:val="Normal"/>
        <w:rPr/>
      </w:pPr>
      <w:r>
        <w:rPr>
          <w:sz w:val="24"/>
          <w:szCs w:val="24"/>
        </w:rPr>
        <w:t xml:space="preserve">В хода на сравнение на двата вида осигурени социални риска, могат да бъдат открити редица разлики между тях. </w:t>
      </w:r>
    </w:p>
    <w:p>
      <w:pPr>
        <w:pStyle w:val="Normal"/>
        <w:rPr/>
      </w:pPr>
      <w:r>
        <w:rPr>
          <w:sz w:val="24"/>
          <w:szCs w:val="24"/>
        </w:rPr>
        <w:t xml:space="preserve">На първо място, двете групи социално осигурени рискове имат различен произход. </w:t>
      </w:r>
      <w:r>
        <w:rPr>
          <w:sz w:val="24"/>
          <w:szCs w:val="24"/>
          <w:u w:val="single"/>
        </w:rPr>
        <w:t>Общите социално осигурени рискове са причинени от външни фактори, на които са изложени всички лица, независимо от условията, при които работят и живеят</w:t>
      </w:r>
      <w:r>
        <w:rPr>
          <w:sz w:val="24"/>
          <w:szCs w:val="24"/>
        </w:rPr>
        <w:t xml:space="preserve">. В това се изразява техният </w:t>
      </w:r>
      <w:r>
        <w:rPr>
          <w:sz w:val="24"/>
          <w:szCs w:val="24"/>
          <w:u w:val="single"/>
        </w:rPr>
        <w:t>универсален характер</w:t>
      </w:r>
      <w:r>
        <w:rPr>
          <w:sz w:val="24"/>
          <w:szCs w:val="24"/>
        </w:rPr>
        <w:t>. Така, както всички хора са смъртни, така и всички те са податливи на заболявания. Това е част от човешката природа. Причините за общо заболяване могат да бъдат различни – физически , химически или биологически фактори, вътрешната среда на човека. Нарушаването на нормалното функциониране на човешкия организъм настъпва поради действието на посочените външни или вътрешни фактори и неприспособяемостта на човека към условията на тази външна среда. Инвалидността поради общо заболяване реално е по-тежко общо заболяване. Така също и майчинството поначало е вероятен (тук не за всички хора, поради своята специфика) за всички жени риск. На действието на риска старост се поддават всички хора. Той е и най-масовият, с много висока степен на вероятност за реализиране. Още повече това важи за риска смърт, който е най-тежък, най-неблагоприятен и единственият риск, който не е вероятен, а сигурен.</w:t>
      </w:r>
    </w:p>
    <w:p>
      <w:pPr>
        <w:pStyle w:val="Normal"/>
        <w:rPr>
          <w:sz w:val="24"/>
          <w:szCs w:val="24"/>
        </w:rPr>
      </w:pPr>
      <w:r>
        <w:rPr>
          <w:sz w:val="24"/>
          <w:szCs w:val="24"/>
        </w:rPr>
        <w:t xml:space="preserve">От друга страна, </w:t>
      </w:r>
      <w:r>
        <w:rPr>
          <w:sz w:val="24"/>
          <w:szCs w:val="24"/>
          <w:u w:val="single"/>
        </w:rPr>
        <w:t>професионалните рискове се реализират именно или предимно поради влиянието на специфични за конкретната работна среда фактори</w:t>
      </w:r>
      <w:r>
        <w:rPr>
          <w:sz w:val="24"/>
          <w:szCs w:val="24"/>
        </w:rPr>
        <w:t xml:space="preserve">. Затова и за признаването на една злополука за трудова, основни елементи от фактическия й състав са </w:t>
      </w:r>
      <w:r>
        <w:rPr>
          <w:sz w:val="24"/>
          <w:szCs w:val="24"/>
          <w:u w:val="single"/>
        </w:rPr>
        <w:t>причинната и функционалната връзка между увреждането и настъпилата нетрудоспособност и между факторите и условията на работната среда и увреждането</w:t>
      </w:r>
      <w:r>
        <w:rPr>
          <w:sz w:val="24"/>
          <w:szCs w:val="24"/>
        </w:rPr>
        <w:t xml:space="preserve">. Тези рискове нямат универсален характер, те могат да сполетят само лица, работещи по трудово правоотношение, което е основание за изпълняване на конкретна работа, която би могла да навреди на лицето или по някакъв начин крие опасност за неговото здраве. Въпреки усилията на Общността за подобряване на условията на труд и хигиена с цел намаляване до минимум на трудовите злополуки и професионалните болести (за които свидетелстват чл. 137 от Договора за създаване на ЕО, 15 Директиви и Рамкова директива на Съвета, която задължава предприятията да поддържат регистър на трудовите злополуки, причинили неработоспособност), неблагоприятни за човека фактори на работната среда винаги съществуват. </w:t>
      </w:r>
    </w:p>
    <w:p>
      <w:pPr>
        <w:pStyle w:val="Normal"/>
        <w:rPr>
          <w:sz w:val="24"/>
          <w:szCs w:val="24"/>
        </w:rPr>
      </w:pPr>
      <w:r>
        <w:rPr>
          <w:sz w:val="24"/>
          <w:szCs w:val="24"/>
        </w:rPr>
        <w:t xml:space="preserve">С оглед казаното дотук, между общите и професионалните социално осигурени рискове логично следват още две разлики. Това са кръгът на осигурените лица и огромната разлика в броя на съответните реализирани случаи.  </w:t>
      </w:r>
    </w:p>
    <w:p>
      <w:pPr>
        <w:pStyle w:val="Normal"/>
        <w:rPr>
          <w:sz w:val="24"/>
          <w:szCs w:val="24"/>
        </w:rPr>
      </w:pPr>
      <w:r>
        <w:rPr>
          <w:sz w:val="24"/>
          <w:szCs w:val="24"/>
        </w:rPr>
        <w:t xml:space="preserve">В чл. 4 КСО откриваме регламентацията на задължителните осигурени лица.  Както от разпоредбата, така и по пътя на логиката можем да заключим, че </w:t>
      </w:r>
      <w:r>
        <w:rPr>
          <w:sz w:val="24"/>
          <w:szCs w:val="24"/>
          <w:u w:val="single"/>
        </w:rPr>
        <w:t>определена група лица не са осигурени за професионалните рискове.</w:t>
      </w:r>
      <w:r>
        <w:rPr>
          <w:sz w:val="24"/>
          <w:szCs w:val="24"/>
        </w:rPr>
        <w:t xml:space="preserve"> Това са 1) лицата, регистрирани като упражняващи свободна професия и/или занаятчийска дейност (лицата по чл. 2, т.2 ТЗ), 2) лицата, упражняващи трудова дейност като еднолични търговци, собственици или съдружници в търговски дружества и физическите лица – членове на неперсонифицирани дружества; 3) докторантите; 4) регистрираните земеделски производители и тютюнопроизводители; 5) лицата, които полагат труд без трудово правоотношение. Лицата, посочени в т. 1), 2) и 4) не са задължително осигурени и за общо заболяване и майчинство. Поради естеството на работата на упражняващите свободна професия и другите изброени лица, те не се осигуряват за трудово злополука и професионална болест. При тях липсва трудово правоотношение. </w:t>
      </w:r>
    </w:p>
    <w:p>
      <w:pPr>
        <w:pStyle w:val="Normal"/>
        <w:rPr>
          <w:sz w:val="24"/>
          <w:szCs w:val="24"/>
        </w:rPr>
      </w:pPr>
      <w:r>
        <w:rPr>
          <w:sz w:val="24"/>
          <w:szCs w:val="24"/>
        </w:rPr>
        <w:br/>
        <w:t xml:space="preserve">На следващо място беше спомената </w:t>
      </w:r>
      <w:r>
        <w:rPr>
          <w:sz w:val="24"/>
          <w:szCs w:val="24"/>
          <w:u w:val="single"/>
        </w:rPr>
        <w:t>разликата в броя на реализираните рискове</w:t>
      </w:r>
      <w:r>
        <w:rPr>
          <w:sz w:val="24"/>
          <w:szCs w:val="24"/>
        </w:rPr>
        <w:t xml:space="preserve"> от едната и от другата група. Като засягащи по-голям брой осигурени лица и имащи широк диапазон на проявление, общите професионални рискове имат значително по-голям брой реализирани случаи. По данни на Националния статистически институт, регистрираните общи заболявания за 2012 г. са 1 837 663, броят раждания са 666 057 и т. н. От друга страна, трудовите злополуки за 2012г. са 3027 (от които 82 са довели до смърт), а професионалните болести – за 2009г. – 116, от които най-много са респираторните и причинените от индустриални фактори и материали.</w:t>
      </w:r>
    </w:p>
    <w:p>
      <w:pPr>
        <w:pStyle w:val="Normal"/>
        <w:rPr/>
      </w:pPr>
      <w:r>
        <w:rPr>
          <w:sz w:val="24"/>
          <w:szCs w:val="24"/>
        </w:rPr>
        <w:t>По мое мнение теоретичното и практическото значение на делението на социалните осигурени рискове на общи и професионални се изразява в различните последици по отношение на реда за установяване им, размера на обезщетението и тежестта на поемане на обезщетенията. Това са и следващите разлики между рисковете, които ще коментирам.</w:t>
      </w:r>
    </w:p>
    <w:p>
      <w:pPr>
        <w:pStyle w:val="Normal"/>
        <w:rPr>
          <w:sz w:val="24"/>
          <w:szCs w:val="24"/>
        </w:rPr>
      </w:pPr>
      <w:r>
        <w:rPr>
          <w:sz w:val="24"/>
          <w:szCs w:val="24"/>
        </w:rPr>
        <w:t xml:space="preserve">На първо място, за различни осигурени рискове е регламентиран различен ред за установяване и доказване. </w:t>
      </w:r>
      <w:r>
        <w:rPr>
          <w:sz w:val="24"/>
          <w:szCs w:val="24"/>
          <w:u w:val="single"/>
        </w:rPr>
        <w:t>Общите социално осигурени рискове подлежат на много по-лесно и бързо установяване.</w:t>
      </w:r>
      <w:r>
        <w:rPr>
          <w:sz w:val="24"/>
          <w:szCs w:val="24"/>
        </w:rPr>
        <w:t xml:space="preserve"> </w:t>
      </w:r>
      <w:r>
        <w:rPr>
          <w:sz w:val="24"/>
          <w:szCs w:val="24"/>
          <w:u w:val="single"/>
        </w:rPr>
        <w:t>Общото заболяване се установява с болничен лист –</w:t>
      </w:r>
      <w:r>
        <w:rPr>
          <w:sz w:val="24"/>
          <w:szCs w:val="24"/>
        </w:rPr>
        <w:t xml:space="preserve"> индивидуален административен акт, изразяващ констатацията на лекаря за временна неработоспособност на осигуреното лице</w:t>
      </w:r>
      <w:r>
        <w:rPr>
          <w:sz w:val="24"/>
          <w:szCs w:val="24"/>
          <w:u w:val="single"/>
        </w:rPr>
        <w:t>. Той подлежи на обжалване пред ТЕЛК</w:t>
      </w:r>
      <w:r>
        <w:rPr>
          <w:sz w:val="24"/>
          <w:szCs w:val="24"/>
        </w:rPr>
        <w:t xml:space="preserve"> и НЕЛК, които се произнасят с експертно решение. Същото важи и за майчинството. Рисковете старост и смърт подлежат на най-лесно установяване, а именно с документ за самоличност при достигане на определената в закона възраст и съответно с акт за смърт, издаден от лекаря, констатирал този факт. </w:t>
      </w:r>
    </w:p>
    <w:p>
      <w:pPr>
        <w:pStyle w:val="Normal"/>
        <w:rPr>
          <w:sz w:val="24"/>
          <w:szCs w:val="24"/>
          <w:u w:val="single"/>
        </w:rPr>
      </w:pPr>
      <w:r>
        <w:rPr>
          <w:sz w:val="24"/>
          <w:szCs w:val="24"/>
          <w:u w:val="single"/>
        </w:rPr>
        <w:t>Установяването на трудовата злополука започва с констатиране на факта на злополуката и обстоятелствата</w:t>
      </w:r>
      <w:r>
        <w:rPr>
          <w:sz w:val="24"/>
          <w:szCs w:val="24"/>
        </w:rPr>
        <w:t xml:space="preserve">, при които тя е настъпила. Редът за установяване, разследване, регистриране и отчитане на трудовите злополуки се определя с Наредбата за установяване, разследване, регистриране и отчитане на трудовите злополуки, приета с ПМС № 263/1999г. (арг. чл. 57, ал. 3 КСО). Възможни са две процедури – административна и съдебна. По правило трудовата злополука се </w:t>
      </w:r>
      <w:r>
        <w:rPr>
          <w:sz w:val="24"/>
          <w:szCs w:val="24"/>
          <w:u w:val="single"/>
        </w:rPr>
        <w:t>установява по административен ред от осигурителя</w:t>
      </w:r>
      <w:r>
        <w:rPr>
          <w:sz w:val="24"/>
          <w:szCs w:val="24"/>
        </w:rPr>
        <w:t xml:space="preserve"> (предприятието ползвател), който е длъжен в рамките на </w:t>
      </w:r>
      <w:r>
        <w:rPr>
          <w:sz w:val="24"/>
          <w:szCs w:val="24"/>
          <w:u w:val="single"/>
        </w:rPr>
        <w:t>3 работни дни да декларира пред териториалното поделение на НОИ всяка злополука</w:t>
      </w:r>
      <w:r>
        <w:rPr>
          <w:sz w:val="24"/>
          <w:szCs w:val="24"/>
        </w:rPr>
        <w:t>. Всяка, защото злополуката ще бъде трудова едва след като бъде призната за такава. (чл.57, ал.1 КСО).  Няма неблагоприятни последици от неспазването на този срок, тъй като неговият характер не е нито преклузивен, нито давностен, последиците биха се изразявали единствено в евентуалното налагане на административно наказание. Ако това не бъде направено</w:t>
      </w:r>
      <w:r>
        <w:rPr>
          <w:sz w:val="24"/>
          <w:szCs w:val="24"/>
          <w:u w:val="single"/>
        </w:rPr>
        <w:t>, в едногодишен срок от настъпването, да я декларират имат право пострадалият или неговите наследници</w:t>
      </w:r>
      <w:r>
        <w:rPr>
          <w:sz w:val="24"/>
          <w:szCs w:val="24"/>
        </w:rPr>
        <w:t xml:space="preserve">.  Редът за разследване на трудовите злополуки е посочен в чл. 58 КСО. </w:t>
      </w:r>
      <w:r>
        <w:rPr>
          <w:sz w:val="24"/>
          <w:szCs w:val="24"/>
          <w:u w:val="single"/>
        </w:rPr>
        <w:t xml:space="preserve">НОИ признава или непризнава злополуката за трудова с издаване на разпореждане. </w:t>
        <w:br/>
      </w:r>
      <w:r>
        <w:rPr>
          <w:sz w:val="24"/>
          <w:szCs w:val="24"/>
        </w:rPr>
        <w:t xml:space="preserve">Установяването на професионалната болест започва с </w:t>
      </w:r>
      <w:r>
        <w:rPr>
          <w:sz w:val="24"/>
          <w:szCs w:val="24"/>
          <w:u w:val="single"/>
        </w:rPr>
        <w:t>известие до териториалното поделение на НОИ, издадено от практикуващия лекар/зъболекар.</w:t>
      </w:r>
      <w:r>
        <w:rPr>
          <w:sz w:val="24"/>
          <w:szCs w:val="24"/>
        </w:rPr>
        <w:t xml:space="preserve"> </w:t>
      </w:r>
      <w:r>
        <w:rPr>
          <w:sz w:val="24"/>
          <w:szCs w:val="24"/>
          <w:u w:val="single"/>
        </w:rPr>
        <w:t>Установяването на причинна връзка между заболяването и нетрудоспособността или смъртта на осигуреното лице е от компетентността на ТЕЛК.</w:t>
      </w:r>
      <w:r>
        <w:rPr>
          <w:sz w:val="24"/>
          <w:szCs w:val="24"/>
        </w:rPr>
        <w:t xml:space="preserve"> </w:t>
      </w:r>
      <w:r>
        <w:rPr>
          <w:sz w:val="24"/>
          <w:szCs w:val="24"/>
          <w:u w:val="single"/>
        </w:rPr>
        <w:t xml:space="preserve">Професионалните болести са </w:t>
      </w:r>
      <w:r>
        <w:rPr>
          <w:sz w:val="24"/>
          <w:szCs w:val="24"/>
          <w:u w:val="single"/>
          <w:lang w:val="en-US"/>
        </w:rPr>
        <w:t>numerus clausus</w:t>
      </w:r>
      <w:r>
        <w:rPr>
          <w:sz w:val="24"/>
          <w:szCs w:val="24"/>
        </w:rPr>
        <w:t xml:space="preserve"> (за момент в миналото е съществувала съдебна практика, характеризираща списъка – тогава т. нар. таблица – като примерен. Към момента по този въпрос няма противоречие.) Органите на експертизата на работоспособността издават </w:t>
      </w:r>
      <w:r>
        <w:rPr>
          <w:sz w:val="24"/>
          <w:szCs w:val="24"/>
          <w:u w:val="single"/>
        </w:rPr>
        <w:t>експертно решение за потвърждаване или отхвърляне на професионалната болест</w:t>
      </w:r>
      <w:r>
        <w:rPr>
          <w:sz w:val="24"/>
          <w:szCs w:val="24"/>
        </w:rPr>
        <w:t xml:space="preserve"> след проучване на определени документи. И тук са налице подзаконови нормативни актове – Наредба за медицинската експертиза, Правилник за устройството и организацията на работа на органите на медицинската експертиза и на регионалните картотеки на медицинските експертизи, Наредба за реда за съобщаване, регистриране , потвърждаване, обжалване и отчитане на професионалните болести. Тъй като трудовата злополука и професионалната болест са факти с изключително правно значение, </w:t>
      </w:r>
      <w:r>
        <w:rPr>
          <w:sz w:val="24"/>
          <w:szCs w:val="24"/>
          <w:u w:val="single"/>
        </w:rPr>
        <w:t>тяхното установяване може да стане и по реда на установителното исково производство. Активно легитимирани са пострадалият или неговите наследници. Давностният срок е тригодишен. Редът за обжалване е регламентиран в чл. 117 и чл. 118 КСО.</w:t>
      </w:r>
    </w:p>
    <w:p>
      <w:pPr>
        <w:pStyle w:val="Normal"/>
        <w:rPr>
          <w:sz w:val="24"/>
          <w:szCs w:val="24"/>
        </w:rPr>
      </w:pPr>
      <w:r>
        <w:rPr>
          <w:sz w:val="24"/>
          <w:szCs w:val="24"/>
        </w:rPr>
        <w:t xml:space="preserve">На следващо място следва да бъде спомената </w:t>
      </w:r>
      <w:r>
        <w:rPr>
          <w:sz w:val="24"/>
          <w:szCs w:val="24"/>
          <w:u w:val="single"/>
        </w:rPr>
        <w:t>разликата в размера на обезщетенията</w:t>
      </w:r>
      <w:r>
        <w:rPr>
          <w:sz w:val="24"/>
          <w:szCs w:val="24"/>
        </w:rPr>
        <w:t xml:space="preserve">. Обезщетението при трудова злополука и професионална болест е в размер на 90% от среднодневното брутно възнаграждение на осигуреното лице. Обезщетението при натрудоспособност поради обща болест, изплащано за първите 3 работни дни от осигурителя, е в размер 70  на сто, а в следващите – 80 на сто. При трайна реална нетрудоспособност – инвалидност поради трудова злополука или професионална болест, социалната пенсия е с по-висок размер от тази за инвалидност поради общо заболяване. Тук ще маркираме и факта, че </w:t>
      </w:r>
      <w:r>
        <w:rPr>
          <w:sz w:val="24"/>
          <w:szCs w:val="24"/>
          <w:u w:val="single"/>
        </w:rPr>
        <w:t>за получаване на обезщетение за реализиран професионален риск не се изисква наличие на определен минимален осигурителен стаж,</w:t>
      </w:r>
      <w:r>
        <w:rPr>
          <w:sz w:val="24"/>
          <w:szCs w:val="24"/>
        </w:rPr>
        <w:t xml:space="preserve"> докато осигурителното право на парично обезщетение за общо заболяване и майчинство възниква ако осигуреното лице има най-малко 6 месеца осигурителен стаж (освен ако лицето няма пълнолетие).</w:t>
      </w:r>
    </w:p>
    <w:p>
      <w:pPr>
        <w:pStyle w:val="Normal"/>
        <w:widowControl/>
        <w:bidi w:val="0"/>
        <w:spacing w:lineRule="auto" w:line="276" w:before="0" w:after="200"/>
        <w:rPr/>
      </w:pPr>
      <w:r>
        <w:rPr>
          <w:sz w:val="24"/>
          <w:szCs w:val="24"/>
        </w:rPr>
        <w:t xml:space="preserve">Не на последно място трябва да бъде отбелязано, че осигурителните вноски за трудова злополука и професионална болест са </w:t>
      </w:r>
      <w:r>
        <w:rPr>
          <w:sz w:val="24"/>
          <w:szCs w:val="24"/>
          <w:u w:val="single"/>
        </w:rPr>
        <w:t>изцяло за сметка на осигурителите,</w:t>
      </w:r>
      <w:r>
        <w:rPr>
          <w:sz w:val="24"/>
          <w:szCs w:val="24"/>
        </w:rPr>
        <w:t xml:space="preserve"> за разлика от вноските за другите социално осигурени рискови, при които тежестта се разпределя между осигурителя и осигуреното лице. Изключение от този принцип представляват морските лица по чл. 4а, ал.1, които, въпреки че са работници/служители, са самоосигуряващи се лица (чл.6, ал.6 КСО). За различните социално осигурени рискове вноските </w:t>
      </w:r>
      <w:r>
        <w:rPr>
          <w:sz w:val="24"/>
          <w:szCs w:val="24"/>
          <w:u w:val="single"/>
        </w:rPr>
        <w:t>се внасят и в различни фондове,</w:t>
      </w:r>
      <w:r>
        <w:rPr>
          <w:sz w:val="24"/>
          <w:szCs w:val="24"/>
        </w:rPr>
        <w:t xml:space="preserve"> като тук разграничаваме фондовете „трудова злополука и професионална болест“, „Общо заболяване и майчинство“, „Пенсии“, „Безработица“.</w:t>
      </w:r>
    </w:p>
    <w:sectPr>
      <w:type w:val="nextPage"/>
      <w:pgSz w:w="11906" w:h="16838"/>
      <w:pgMar w:left="1417" w:right="1417" w:header="0" w:top="1417" w:footer="0" w:bottom="1417" w:gutter="0"/>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1" w:characterSet="utf-8"/>
    <w:family w:val="roman"/>
    <w:pitch w:val="variable"/>
  </w:font>
  <w:font w:name="Calibri">
    <w:charset w:val="cc" w:characterSet="windows-1251"/>
    <w:family w:val="swiss"/>
    <w:pitch w:val="variable"/>
  </w:font>
  <w:font w:name="Liberation Sans">
    <w:altName w:val="Arial"/>
    <w:charset w:val="01" w:characterSet="utf-8"/>
    <w:family w:val="swiss"/>
    <w:pitch w:val="variable"/>
  </w:font>
</w:fonts>
</file>

<file path=word/settings.xml><?xml version="1.0" encoding="utf-8"?>
<w:settings xmlns:w="http://schemas.openxmlformats.org/wordprocessingml/2006/main">
  <w:zoom w:percent="100"/>
  <w:defaultTabStop w:val="708"/>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Droid Sans Fallback" w:cs="FreeSans"/>
        <w:sz w:val="24"/>
        <w:szCs w:val="24"/>
        <w:lang w:val="en-US" w:eastAsia="zh-CN" w:bidi="hi-IN"/>
      </w:rPr>
    </w:rPrDefault>
    <w:pPrDefault>
      <w:pPr/>
    </w:pPrDefault>
  </w:docDefaults>
  <w:style w:type="paragraph" w:styleId="Normal">
    <w:name w:val="Normal"/>
    <w:qFormat/>
    <w:pPr>
      <w:widowControl/>
      <w:bidi w:val="0"/>
      <w:spacing w:lineRule="auto" w:line="276" w:before="0" w:after="200"/>
    </w:pPr>
    <w:rPr>
      <w:rFonts w:ascii="Calibri" w:hAnsi="Calibri" w:eastAsia="Calibri" w:cs="Times New Roman"/>
      <w:color w:val="auto"/>
      <w:sz w:val="22"/>
      <w:szCs w:val="22"/>
      <w:lang w:val="bg-BG" w:bidi="ar-SA" w:eastAsia="zh-CN"/>
    </w:rPr>
  </w:style>
  <w:style w:type="character" w:styleId="Style14">
    <w:name w:val="Шрифт на абзаца по подразбиране"/>
    <w:qFormat/>
    <w:rPr/>
  </w:style>
  <w:style w:type="paragraph" w:styleId="Heading">
    <w:name w:val="Heading"/>
    <w:basedOn w:val="Normal"/>
    <w:next w:val="TextBody"/>
    <w:qFormat/>
    <w:pPr>
      <w:keepNext/>
      <w:spacing w:before="240" w:after="120"/>
    </w:pPr>
    <w:rPr>
      <w:rFonts w:ascii="Liberation Sans" w:hAnsi="Liberation Sans" w:eastAsia="Droid Sans Fallback" w:cs="FreeSans"/>
      <w:sz w:val="28"/>
      <w:szCs w:val="28"/>
    </w:rPr>
  </w:style>
  <w:style w:type="paragraph" w:styleId="TextBody">
    <w:name w:val="Text Body"/>
    <w:basedOn w:val="Normal"/>
    <w:pPr>
      <w:spacing w:lineRule="auto" w:line="288" w:before="0" w:after="140"/>
    </w:pPr>
    <w:rPr/>
  </w:style>
  <w:style w:type="paragraph" w:styleId="List">
    <w:name w:val="List"/>
    <w:basedOn w:val="TextBody"/>
    <w:pPr/>
    <w:rPr>
      <w:rFonts w:cs="FreeSans"/>
    </w:rPr>
  </w:style>
  <w:style w:type="paragraph" w:styleId="Caption">
    <w:name w:val="Caption"/>
    <w:basedOn w:val="Normal"/>
    <w:qFormat/>
    <w:pPr>
      <w:suppressLineNumbers/>
      <w:spacing w:before="120" w:after="120"/>
    </w:pPr>
    <w:rPr>
      <w:rFonts w:cs="FreeSans"/>
      <w:i/>
      <w:iCs/>
      <w:sz w:val="24"/>
      <w:szCs w:val="24"/>
    </w:rPr>
  </w:style>
  <w:style w:type="paragraph" w:styleId="Index">
    <w:name w:val="Index"/>
    <w:basedOn w:val="Normal"/>
    <w:qFormat/>
    <w:pPr>
      <w:suppressLineNumbers/>
    </w:pPr>
    <w:rPr>
      <w:rFonts w:cs="FreeSans"/>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Normal</Template>
  <TotalTime>79</TotalTime>
  <Application>LibreOffice/5.0.3.2$Linux_x86 LibreOffice_project/00m0$Build-2</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2013-04-14T19:27:00Z</dcterms:created>
  <dc:creator>Mira</dc:creator>
  <dc:language>en-US</dc:language>
  <cp:lastModifiedBy>Mira</cp:lastModifiedBy>
  <dcterms:modified xsi:type="dcterms:W3CDTF">2013-06-02T13:45:00Z</dcterms:modified>
  <cp:revision>3</cp:revision>
</cp:coreProperties>
</file>